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7.0 -->
  <w:body>
    <w:p>
      <w:pPr>
        <w:spacing w:before="418" w:after="0" w:line="173" w:lineRule="auto"/>
        <w:ind w:right="1179"/>
        <w:rPr>
          <w:sz w:val="48"/>
          <w:szCs w:val="48"/>
        </w:rPr>
      </w:pPr>
      <w:r>
        <w:rPr>
          <w:strike w:val="0"/>
          <w:sz w:val="48"/>
          <w:szCs w:val="48"/>
          <w:u w:val="none"/>
        </w:rPr>
        <w:drawing>
          <wp:anchor simplePos="0" relativeHeight="251658240" behindDoc="0" locked="0" layoutInCell="1" allowOverlap="1">
            <wp:simplePos x="0" y="0"/>
            <wp:positionH relativeFrom="page">
              <wp:posOffset>844296</wp:posOffset>
            </wp:positionH>
            <wp:positionV relativeFrom="paragraph">
              <wp:posOffset>243459</wp:posOffset>
            </wp:positionV>
            <wp:extent cx="6096000" cy="9525"/>
            <wp:wrapNone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urnkey W v0006 Medium" w:eastAsia="Turnkey W v0006 Medium" w:hAnsi="Turnkey W v0006 Medium" w:cs="Turnkey W v0006 Medium"/>
          <w:color w:val="1E1D3C"/>
          <w:sz w:val="48"/>
          <w:szCs w:val="48"/>
        </w:rPr>
        <w:t xml:space="preserve">Professional Development and Conference Grants </w:t>
      </w:r>
    </w:p>
    <w:p>
      <w:pPr>
        <w:spacing w:before="418" w:after="0" w:line="173" w:lineRule="auto"/>
        <w:ind w:right="1179"/>
        <w:rPr>
          <w:sz w:val="48"/>
          <w:szCs w:val="48"/>
        </w:rPr>
      </w:pPr>
      <w:r>
        <w:rPr>
          <w:rFonts w:ascii="Turnkey W v0006 Medium" w:eastAsia="Turnkey W v0006 Medium" w:hAnsi="Turnkey W v0006 Medium" w:cs="Turnkey W v0006 Medium"/>
          <w:color w:val="1E1D3C"/>
          <w:sz w:val="48"/>
          <w:szCs w:val="48"/>
        </w:rPr>
        <w:t>Terms</w:t>
      </w:r>
      <w:r>
        <w:rPr>
          <w:rFonts w:ascii="Turnkey W v0006 Medium" w:eastAsia="Turnkey W v0006 Medium" w:hAnsi="Turnkey W v0006 Medium" w:cs="Turnkey W v0006 Medium"/>
          <w:color w:val="1E1D3C"/>
          <w:spacing w:val="-10"/>
          <w:sz w:val="48"/>
          <w:szCs w:val="4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48"/>
          <w:szCs w:val="48"/>
        </w:rPr>
        <w:t>and</w:t>
      </w:r>
      <w:r>
        <w:rPr>
          <w:rFonts w:ascii="Turnkey W v0006 Medium" w:eastAsia="Turnkey W v0006 Medium" w:hAnsi="Turnkey W v0006 Medium" w:cs="Turnkey W v0006 Medium"/>
          <w:color w:val="1E1D3C"/>
          <w:spacing w:val="-10"/>
          <w:sz w:val="48"/>
          <w:szCs w:val="4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48"/>
          <w:szCs w:val="48"/>
        </w:rPr>
        <w:t>Conditions</w:t>
      </w:r>
    </w:p>
    <w:p>
      <w:pPr>
        <w:spacing w:before="0" w:after="0" w:line="173" w:lineRule="auto"/>
        <w:ind w:right="1179"/>
        <w:rPr>
          <w:sz w:val="48"/>
          <w:szCs w:val="48"/>
        </w:rPr>
      </w:pPr>
      <w:r>
        <w:rPr>
          <w:rFonts w:ascii="Turnkey W v0006 Medium" w:eastAsia="Turnkey W v0006 Medium" w:hAnsi="Turnkey W v0006 Medium" w:cs="Turnkey W v0006 Medium"/>
          <w:color w:val="1E1D3C"/>
          <w:spacing w:val="-2"/>
          <w:sz w:val="48"/>
          <w:szCs w:val="48"/>
        </w:rPr>
        <w:t>2026/2027</w:t>
      </w:r>
    </w:p>
    <w:p>
      <w:pPr>
        <w:spacing w:before="289" w:after="0"/>
        <w:rPr>
          <w:rFonts w:ascii="Turnkey W v0006 Medium" w:eastAsia="Turnkey W v0006 Medium" w:hAnsi="Turnkey W v0006 Medium" w:cs="Turnkey W v0006 Medium"/>
          <w:sz w:val="28"/>
          <w:szCs w:val="28"/>
        </w:rPr>
      </w:pPr>
    </w:p>
    <w:p>
      <w:pPr>
        <w:spacing w:before="0" w:after="0" w:line="173" w:lineRule="auto"/>
        <w:ind w:left="100"/>
        <w:rPr>
          <w:sz w:val="28"/>
          <w:szCs w:val="28"/>
        </w:rPr>
      </w:pPr>
      <w:r>
        <w:rPr>
          <w:strike w:val="0"/>
          <w:sz w:val="28"/>
          <w:szCs w:val="28"/>
          <w:u w:val="none"/>
        </w:rPr>
        <w:drawing>
          <wp:anchor simplePos="0" relativeHeight="251659264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-185674</wp:posOffset>
            </wp:positionV>
            <wp:extent cx="6096000" cy="9525"/>
            <wp:wrapNone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This scheme has been made possible with funding from the Welsh Government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through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the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Culture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Division,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and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from</w:t>
      </w:r>
      <w:r>
        <w:rPr>
          <w:rFonts w:ascii="Turnkey W v0006 Medium" w:eastAsia="Turnkey W v0006 Medium" w:hAnsi="Turnkey W v0006 Medium" w:cs="Turnkey W v0006 Medium"/>
          <w:color w:val="1E1D3C"/>
          <w:spacing w:val="-3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the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Federation</w:t>
      </w:r>
      <w:r>
        <w:rPr>
          <w:rFonts w:ascii="Turnkey W v0006 Medium" w:eastAsia="Turnkey W v0006 Medium" w:hAnsi="Turnkey W v0006 Medium" w:cs="Turnkey W v0006 Medium"/>
          <w:color w:val="1E1D3C"/>
          <w:spacing w:val="-4"/>
          <w:sz w:val="28"/>
          <w:szCs w:val="28"/>
        </w:rPr>
        <w:t xml:space="preserve"> </w:t>
      </w:r>
      <w:r>
        <w:rPr>
          <w:rFonts w:ascii="Turnkey W v0006 Medium" w:eastAsia="Turnkey W v0006 Medium" w:hAnsi="Turnkey W v0006 Medium" w:cs="Turnkey W v0006 Medium"/>
          <w:color w:val="1E1D3C"/>
          <w:sz w:val="28"/>
          <w:szCs w:val="28"/>
        </w:rPr>
        <w:t>of Museums and Art Galleries of Wales.</w:t>
      </w:r>
    </w:p>
    <w:p>
      <w:pPr>
        <w:numPr>
          <w:ilvl w:val="0"/>
          <w:numId w:val="1"/>
        </w:numPr>
        <w:spacing w:before="275" w:line="173" w:lineRule="auto"/>
        <w:ind w:left="383" w:right="485" w:hanging="265"/>
        <w:jc w:val="left"/>
        <w:rPr>
          <w:color w:val="1E1D3C"/>
          <w:spacing w:val="-1"/>
        </w:rPr>
      </w:pPr>
      <w:r>
        <w:rPr>
          <w:color w:val="1E1D3C"/>
          <w:spacing w:val="0"/>
          <w:u w:val="single" w:color="1E1D3C"/>
        </w:rPr>
        <w:t xml:space="preserve">Applications are made by eligible institutions on behalf of </w:t>
      </w:r>
      <w:r>
        <w:rPr>
          <w:color w:val="1E1D3C"/>
          <w:spacing w:val="0"/>
        </w:rPr>
        <w:t>th</w:t>
      </w:r>
      <w:r>
        <w:rPr>
          <w:color w:val="1E1D3C"/>
          <w:spacing w:val="0"/>
          <w:u w:val="single" w:color="1E1D3C"/>
        </w:rPr>
        <w:t>eir staff</w:t>
      </w:r>
      <w:r>
        <w:rPr>
          <w:color w:val="1E1D3C"/>
          <w:spacing w:val="0"/>
        </w:rPr>
        <w:t xml:space="preserve"> – whether paid or volunteer. The benefits to both personal and organisational development must be demonstrated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in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application.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Applications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from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Museum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Mentors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(who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are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not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staff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of other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museums)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can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be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considered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if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applied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via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(and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paid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through)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their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mentor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-2"/>
        </w:rPr>
        <w:t>museum.</w:t>
      </w:r>
    </w:p>
    <w:p>
      <w:pPr>
        <w:numPr>
          <w:ilvl w:val="0"/>
          <w:numId w:val="1"/>
        </w:numPr>
        <w:spacing w:after="0" w:line="375" w:lineRule="atLeast"/>
        <w:ind w:left="382" w:right="0" w:hanging="265"/>
        <w:jc w:val="left"/>
        <w:rPr>
          <w:color w:val="1E1D3C"/>
          <w:spacing w:val="-1"/>
        </w:rPr>
        <w:sectPr>
          <w:headerReference w:type="default" r:id="rId6"/>
          <w:footerReference w:type="default" r:id="rId7"/>
          <w:type w:val="continuous"/>
          <w:pgSz w:w="12240" w:h="15840"/>
          <w:pgMar w:top="2520" w:right="1340" w:bottom="1340" w:left="1340" w:header="708" w:footer="708"/>
          <w:cols w:space="708"/>
        </w:sectPr>
      </w:pPr>
      <w:r>
        <w:rPr>
          <w:color w:val="1E1D3C"/>
          <w:spacing w:val="0"/>
        </w:rPr>
        <w:t>Where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more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than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one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application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is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received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from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same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member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body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in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any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one</w:t>
      </w:r>
      <w:r>
        <w:rPr>
          <w:color w:val="1E1D3C"/>
          <w:spacing w:val="-4"/>
        </w:rPr>
        <w:t xml:space="preserve"> year</w:t>
      </w:r>
    </w:p>
    <w:p>
      <w:pPr>
        <w:spacing w:before="0" w:after="0" w:line="175" w:lineRule="auto"/>
        <w:ind w:left="383" w:right="38"/>
      </w:pPr>
      <w:r>
        <w:rPr>
          <w:color w:val="1E1D3C"/>
        </w:rPr>
        <w:t>the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applications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should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provide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 xml:space="preserve">a </w:t>
      </w:r>
      <w:r>
        <w:rPr>
          <w:color w:val="1E1D3C"/>
          <w:spacing w:val="-3"/>
        </w:rPr>
        <w:t xml:space="preserve">supporting statement as to </w:t>
      </w:r>
      <w:r>
        <w:rPr>
          <w:color w:val="1E1D3C"/>
        </w:rPr>
        <w:t>why</w:t>
      </w:r>
      <w:r>
        <w:rPr>
          <w:color w:val="1E1D3C"/>
          <w:spacing w:val="-4"/>
        </w:rPr>
        <w:t xml:space="preserve"> </w:t>
      </w:r>
      <w:r>
        <w:rPr>
          <w:color w:val="1E1D3C"/>
        </w:rPr>
        <w:t xml:space="preserve">more than one grant has been requested. </w:t>
      </w:r>
    </w:p>
    <w:p>
      <w:pPr>
        <w:numPr>
          <w:ilvl w:val="0"/>
          <w:numId w:val="2"/>
        </w:numPr>
        <w:pBdr>
          <w:left w:val="none" w:sz="0" w:space="0" w:color="auto"/>
        </w:pBdr>
        <w:spacing w:before="0" w:after="0" w:line="175" w:lineRule="auto"/>
        <w:ind w:left="384" w:right="38" w:hanging="266"/>
        <w:jc w:val="left"/>
        <w:rPr>
          <w:color w:val="1E1D3C"/>
          <w:spacing w:val="-1"/>
        </w:rPr>
      </w:pPr>
      <w:r>
        <w:rPr>
          <w:color w:val="1E1D3C"/>
          <w:spacing w:val="0"/>
        </w:rPr>
        <w:t>Fees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and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travel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and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subsistence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are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eligible.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Travel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and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subsistence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must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be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at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4"/>
        </w:rPr>
        <w:t xml:space="preserve"> most</w:t>
      </w:r>
    </w:p>
    <w:p>
      <w:pPr>
        <w:spacing w:before="31" w:after="0" w:line="173" w:lineRule="auto"/>
        <w:ind w:left="383"/>
      </w:pPr>
      <w:r>
        <w:rPr>
          <w:strike w:val="0"/>
          <w:u w:val="none"/>
        </w:rPr>
        <w:drawing>
          <wp:anchor simplePos="0" relativeHeight="251660288" behindDoc="1" locked="0" layoutInCell="1" allowOverlap="1">
            <wp:simplePos x="0" y="0"/>
            <wp:positionH relativeFrom="page">
              <wp:posOffset>8242300</wp:posOffset>
            </wp:positionH>
            <wp:positionV relativeFrom="paragraph">
              <wp:posOffset>407035</wp:posOffset>
            </wp:positionV>
            <wp:extent cx="333375" cy="142875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1D3C"/>
        </w:rPr>
        <w:t>economical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rates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and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as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environmentally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friendly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as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possible.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Applications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that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do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not</w:t>
      </w:r>
      <w:r>
        <w:rPr>
          <w:color w:val="1E1D3C"/>
          <w:spacing w:val="-3"/>
        </w:rPr>
        <w:t xml:space="preserve"> </w:t>
      </w:r>
      <w:r>
        <w:rPr>
          <w:color w:val="1E1D3C"/>
        </w:rPr>
        <w:t>show best value may be rejected or only approved in part.</w:t>
      </w:r>
    </w:p>
    <w:p>
      <w:pPr>
        <w:numPr>
          <w:ilvl w:val="0"/>
          <w:numId w:val="3"/>
        </w:numPr>
        <w:pBdr>
          <w:left w:val="none" w:sz="0" w:space="0" w:color="auto"/>
        </w:pBdr>
        <w:spacing w:before="0" w:line="175" w:lineRule="auto"/>
        <w:ind w:left="383" w:right="257" w:hanging="266"/>
        <w:jc w:val="left"/>
        <w:rPr>
          <w:color w:val="1E1D3C"/>
          <w:spacing w:val="-1"/>
        </w:rPr>
      </w:pPr>
      <w:r>
        <w:rPr>
          <w:color w:val="1E1D3C"/>
          <w:spacing w:val="0"/>
        </w:rPr>
        <w:t>We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grant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aid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successful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applications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  <w:u w:val="single" w:color="1E1D3C"/>
        </w:rPr>
        <w:t>up</w:t>
      </w:r>
      <w:r>
        <w:rPr>
          <w:color w:val="1E1D3C"/>
          <w:spacing w:val="-4"/>
          <w:u w:val="single" w:color="1E1D3C"/>
        </w:rPr>
        <w:t xml:space="preserve"> </w:t>
      </w:r>
      <w:r>
        <w:rPr>
          <w:color w:val="1E1D3C"/>
          <w:spacing w:val="0"/>
          <w:u w:val="single" w:color="1E1D3C"/>
        </w:rPr>
        <w:t>to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100% of costs. The maximum grant allowable will be £1000 per application.</w:t>
      </w:r>
      <w:r>
        <w:rPr>
          <w:color w:val="1E1D3C"/>
          <w:spacing w:val="-4"/>
        </w:rPr>
        <w:t xml:space="preserve"> </w:t>
      </w:r>
    </w:p>
    <w:p>
      <w:pPr>
        <w:numPr>
          <w:ilvl w:val="0"/>
          <w:numId w:val="3"/>
        </w:numPr>
        <w:spacing w:line="329" w:lineRule="atLeast"/>
        <w:ind w:left="383" w:right="0" w:hanging="265"/>
        <w:jc w:val="left"/>
        <w:rPr>
          <w:color w:val="1E1D3C"/>
          <w:spacing w:val="-1"/>
        </w:rPr>
      </w:pPr>
      <w:r>
        <w:rPr>
          <w:color w:val="1E1D3C"/>
          <w:spacing w:val="0"/>
        </w:rPr>
        <w:t>Retrospective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applications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for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grants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will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not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be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-2"/>
        </w:rPr>
        <w:t>accepted.</w:t>
      </w:r>
    </w:p>
    <w:p>
      <w:pPr>
        <w:numPr>
          <w:ilvl w:val="0"/>
          <w:numId w:val="3"/>
        </w:numPr>
        <w:spacing w:line="329" w:lineRule="atLeast"/>
        <w:ind w:left="383" w:right="0" w:hanging="265"/>
        <w:jc w:val="left"/>
        <w:rPr>
          <w:color w:val="1E1D3C"/>
          <w:spacing w:val="-1"/>
        </w:rPr>
      </w:pPr>
      <w:r>
        <w:rPr>
          <w:strike w:val="0"/>
          <w:color w:val="1E1D3C"/>
          <w:spacing w:val="-1"/>
          <w:u w:val="none"/>
        </w:rPr>
        <w:drawing>
          <wp:anchor simplePos="0" relativeHeight="251661312" behindDoc="1" locked="0" layoutInCell="1" allowOverlap="1">
            <wp:simplePos x="0" y="0"/>
            <wp:positionH relativeFrom="page">
              <wp:posOffset>8036560</wp:posOffset>
            </wp:positionH>
            <wp:positionV relativeFrom="paragraph">
              <wp:posOffset>312420</wp:posOffset>
            </wp:positionV>
            <wp:extent cx="857250" cy="142875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1D3C"/>
          <w:spacing w:val="0"/>
        </w:rPr>
        <w:t>All claims for training and conference grants must be received within one month of the training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or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conference.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Failure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to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claim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grant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within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this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period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will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result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in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grant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being withdrawn.</w:t>
      </w:r>
      <w:r>
        <w:rPr>
          <w:color w:val="1E1D3C"/>
          <w:spacing w:val="-2"/>
        </w:rPr>
        <w:t xml:space="preserve"> </w:t>
      </w:r>
    </w:p>
    <w:p>
      <w:pPr>
        <w:numPr>
          <w:ilvl w:val="0"/>
          <w:numId w:val="3"/>
        </w:numPr>
        <w:spacing w:line="329" w:lineRule="atLeast"/>
        <w:ind w:left="383" w:right="0" w:hanging="265"/>
        <w:jc w:val="left"/>
        <w:rPr>
          <w:color w:val="1E1D3C"/>
          <w:spacing w:val="-1"/>
        </w:rPr>
      </w:pPr>
      <w:r>
        <w:rPr>
          <w:color w:val="1E1D3C"/>
          <w:spacing w:val="0"/>
        </w:rPr>
        <w:t>If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actual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expenditure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is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lower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than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original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application,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then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grant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will</w:t>
      </w:r>
      <w:r>
        <w:rPr>
          <w:color w:val="1E1D3C"/>
          <w:spacing w:val="-2"/>
        </w:rPr>
        <w:t xml:space="preserve"> </w:t>
      </w:r>
      <w:r>
        <w:rPr>
          <w:color w:val="1E1D3C"/>
          <w:spacing w:val="0"/>
        </w:rPr>
        <w:t>be reduced pro rata. Successful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applicants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for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conference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must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provide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a written report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for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6"/>
        </w:rPr>
        <w:t xml:space="preserve"> </w:t>
      </w:r>
      <w:r>
        <w:rPr>
          <w:color w:val="1E1D3C"/>
          <w:spacing w:val="0"/>
        </w:rPr>
        <w:t>Federation</w:t>
      </w:r>
      <w:r>
        <w:rPr>
          <w:color w:val="1E1D3C"/>
          <w:spacing w:val="-5"/>
        </w:rPr>
        <w:t xml:space="preserve"> </w:t>
      </w:r>
      <w:r>
        <w:rPr>
          <w:color w:val="1E1D3C"/>
          <w:spacing w:val="-2"/>
        </w:rPr>
        <w:t xml:space="preserve">after </w:t>
      </w:r>
      <w:r>
        <w:rPr>
          <w:color w:val="1E1D3C"/>
          <w:spacing w:val="0"/>
        </w:rPr>
        <w:t>the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event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which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may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be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published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on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Federation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website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0"/>
        </w:rPr>
        <w:t>or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in</w:t>
      </w:r>
      <w:r>
        <w:rPr>
          <w:color w:val="1E1D3C"/>
          <w:spacing w:val="-4"/>
        </w:rPr>
        <w:t xml:space="preserve"> </w:t>
      </w:r>
      <w:r>
        <w:rPr>
          <w:color w:val="1E1D3C"/>
          <w:spacing w:val="-2"/>
        </w:rPr>
        <w:t>YMAG. A template is provided</w:t>
      </w:r>
    </w:p>
    <w:p>
      <w:pPr>
        <w:numPr>
          <w:ilvl w:val="0"/>
          <w:numId w:val="3"/>
        </w:numPr>
        <w:spacing w:before="32" w:after="0" w:line="173" w:lineRule="auto"/>
        <w:ind w:left="383" w:right="252" w:hanging="265"/>
        <w:jc w:val="left"/>
        <w:rPr>
          <w:color w:val="1E1D3C"/>
          <w:spacing w:val="-1"/>
        </w:rPr>
      </w:pPr>
      <w:r>
        <w:rPr>
          <w:color w:val="1E1D3C"/>
          <w:spacing w:val="0"/>
        </w:rPr>
        <w:t>Other relevant eligibility rules for the small grant programme will be strictly applied i.e. the applicant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must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be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an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institutional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member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of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the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Federation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and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be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an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Accredited</w:t>
      </w:r>
      <w:r>
        <w:rPr>
          <w:color w:val="1E1D3C"/>
          <w:spacing w:val="-1"/>
        </w:rPr>
        <w:t xml:space="preserve"> </w:t>
      </w:r>
      <w:r>
        <w:rPr>
          <w:color w:val="1E1D3C"/>
          <w:spacing w:val="0"/>
        </w:rPr>
        <w:t>Museum in Wales. Museums that are not Accredited can be supported if they have ‘working towards Accreditation’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status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i.e.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they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have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completed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an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eligibility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form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and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have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been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accepted</w:t>
      </w:r>
      <w:r>
        <w:rPr>
          <w:color w:val="1E1D3C"/>
          <w:spacing w:val="-3"/>
        </w:rPr>
        <w:t xml:space="preserve"> </w:t>
      </w:r>
      <w:r>
        <w:rPr>
          <w:color w:val="1E1D3C"/>
          <w:spacing w:val="0"/>
        </w:rPr>
        <w:t>as eligible by Welsh Government.</w:t>
      </w:r>
    </w:p>
    <w:p>
      <w:pPr>
        <w:spacing w:before="210" w:after="0" w:line="173" w:lineRule="auto"/>
        <w:ind w:left="100"/>
      </w:pPr>
      <w:r>
        <w:rPr>
          <w:color w:val="1E1D3C"/>
        </w:rPr>
        <w:t>N.B.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The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Federation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is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unable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to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support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applications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from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Amgueddfa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>Cymru-National</w:t>
      </w:r>
      <w:r>
        <w:rPr>
          <w:color w:val="1E1D3C"/>
          <w:spacing w:val="-9"/>
        </w:rPr>
        <w:t xml:space="preserve"> </w:t>
      </w:r>
      <w:r>
        <w:rPr>
          <w:color w:val="1E1D3C"/>
        </w:rPr>
        <w:t xml:space="preserve">Museum </w:t>
      </w:r>
      <w:r>
        <w:rPr>
          <w:b/>
          <w:bCs/>
          <w:color w:val="1E1D3C"/>
        </w:rPr>
        <w:t>W</w:t>
      </w:r>
      <w:r>
        <w:rPr>
          <w:color w:val="1E1D3C"/>
        </w:rPr>
        <w:t>ales as it is directly funded by Welsh Government.</w:t>
      </w:r>
    </w:p>
    <w:p>
      <w:pPr>
        <w:sectPr>
          <w:type w:val="continuous"/>
          <w:pgSz w:w="12240" w:h="15840"/>
          <w:pgMar w:top="2520" w:right="1340" w:bottom="1340" w:left="1340" w:header="708" w:footer="708"/>
          <w:cols w:space="708"/>
        </w:sectPr>
      </w:pPr>
    </w:p>
    <w:p>
      <w:pPr>
        <w:spacing w:before="0" w:after="0" w:line="334" w:lineRule="atLeast"/>
        <w:rPr>
          <w:rFonts w:ascii="Turnkey W v0006" w:eastAsia="Turnkey W v0006" w:hAnsi="Turnkey W v0006" w:cs="Turnkey W v0006"/>
          <w:sz w:val="22"/>
          <w:szCs w:val="22"/>
        </w:rPr>
      </w:pPr>
    </w:p>
    <w:sectPr>
      <w:type w:val="nextPage"/>
      <w:pgSz w:w="12240" w:h="15840"/>
      <w:pgMar w:top="2520" w:right="1340" w:bottom="1340" w:left="13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14" w:lineRule="auto"/>
      <w:rPr>
        <w:rFonts w:ascii="Turnkey W v0006" w:eastAsia="Turnkey W v0006" w:hAnsi="Turnkey W v0006" w:cs="Turnkey W v0006"/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9264" behindDoc="1" locked="0" layoutInCell="1" allowOverlap="1">
          <wp:simplePos x="0" y="0"/>
          <wp:positionH relativeFrom="page">
            <wp:posOffset>5622544</wp:posOffset>
          </wp:positionH>
          <wp:positionV relativeFrom="page">
            <wp:posOffset>9194546</wp:posOffset>
          </wp:positionV>
          <wp:extent cx="1285875" cy="17145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trike w:val="0"/>
        <w:sz w:val="20"/>
        <w:szCs w:val="20"/>
        <w:u w:val="none"/>
      </w:rPr>
      <w:drawing>
        <wp:anchor simplePos="0" relativeHeight="251658240" behindDoc="1" locked="0" layoutInCell="1" allowOverlap="1">
          <wp:simplePos x="0" y="0"/>
          <wp:positionH relativeFrom="page">
            <wp:posOffset>877316</wp:posOffset>
          </wp:positionH>
          <wp:positionV relativeFrom="page">
            <wp:posOffset>9194546</wp:posOffset>
          </wp:positionV>
          <wp:extent cx="1400175" cy="17145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14" w:lineRule="auto"/>
      <w:rPr>
        <w:rFonts w:ascii="Turnkey W v0006" w:eastAsia="Turnkey W v0006" w:hAnsi="Turnkey W v0006" w:cs="Turnkey W v0006"/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8240" behindDoc="1" locked="0" layoutInCell="1" allowOverlap="1">
          <wp:simplePos x="0" y="0"/>
          <wp:positionH relativeFrom="page">
            <wp:posOffset>872109</wp:posOffset>
          </wp:positionH>
          <wp:positionV relativeFrom="page">
            <wp:posOffset>184150</wp:posOffset>
          </wp:positionV>
          <wp:extent cx="6896100" cy="142875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89610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</w:pPr>
    <w:rPr>
      <w:rFonts w:ascii="Turnkey W v0006" w:eastAsia="Turnkey W v0006" w:hAnsi="Turnkey W v0006" w:cs="Turnkey W v000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6.png" /><Relationship Id="rId9" Type="http://schemas.openxmlformats.org/officeDocument/2006/relationships/image" Target="media/image7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